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附件1</w:t>
      </w:r>
    </w:p>
    <w:p>
      <w:pPr>
        <w:pStyle w:val="5"/>
        <w:spacing w:line="560" w:lineRule="exact"/>
        <w:jc w:val="center"/>
        <w:rPr>
          <w:rFonts w:hint="eastAsia" w:ascii="微软雅黑" w:hAnsi="微软雅黑" w:eastAsia="微软雅黑" w:cs="微软雅黑"/>
          <w:sz w:val="28"/>
          <w:szCs w:val="28"/>
        </w:rPr>
      </w:pPr>
    </w:p>
    <w:p>
      <w:pPr>
        <w:pStyle w:val="5"/>
        <w:spacing w:line="560" w:lineRule="exact"/>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宜宾机场集团有限公司公开考试招聘工作人员岗位表</w:t>
      </w:r>
    </w:p>
    <w:bookmarkEnd w:id="0"/>
    <w:tbl>
      <w:tblPr>
        <w:tblStyle w:val="3"/>
        <w:tblpPr w:leftFromText="180" w:rightFromText="180" w:vertAnchor="text" w:horzAnchor="page" w:tblpXSpec="center" w:tblpY="1405"/>
        <w:tblOverlap w:val="never"/>
        <w:tblW w:w="12753" w:type="dxa"/>
        <w:jc w:val="center"/>
        <w:tblInd w:w="0" w:type="dxa"/>
        <w:tblLayout w:type="fixed"/>
        <w:tblCellMar>
          <w:top w:w="0" w:type="dxa"/>
          <w:left w:w="108" w:type="dxa"/>
          <w:bottom w:w="0" w:type="dxa"/>
          <w:right w:w="108" w:type="dxa"/>
        </w:tblCellMar>
      </w:tblPr>
      <w:tblGrid>
        <w:gridCol w:w="940"/>
        <w:gridCol w:w="1050"/>
        <w:gridCol w:w="728"/>
        <w:gridCol w:w="1065"/>
        <w:gridCol w:w="1222"/>
        <w:gridCol w:w="1065"/>
        <w:gridCol w:w="923"/>
        <w:gridCol w:w="3495"/>
        <w:gridCol w:w="2265"/>
      </w:tblGrid>
      <w:tr>
        <w:tblPrEx>
          <w:tblLayout w:type="fixed"/>
          <w:tblCellMar>
            <w:top w:w="0" w:type="dxa"/>
            <w:left w:w="108" w:type="dxa"/>
            <w:bottom w:w="0" w:type="dxa"/>
            <w:right w:w="108" w:type="dxa"/>
          </w:tblCellMar>
        </w:tblPrEx>
        <w:trPr>
          <w:trHeight w:val="306" w:hRule="atLeast"/>
          <w:jc w:val="center"/>
        </w:trPr>
        <w:tc>
          <w:tcPr>
            <w:tcW w:w="1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招聘岗位</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招聘</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名额</w:t>
            </w:r>
          </w:p>
        </w:tc>
        <w:tc>
          <w:tcPr>
            <w:tcW w:w="42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条件要求</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约定事项</w:t>
            </w:r>
          </w:p>
        </w:tc>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备注</w:t>
            </w:r>
          </w:p>
        </w:tc>
      </w:tr>
      <w:tr>
        <w:tblPrEx>
          <w:tblLayout w:type="fixed"/>
          <w:tblCellMar>
            <w:top w:w="0" w:type="dxa"/>
            <w:left w:w="108" w:type="dxa"/>
            <w:bottom w:w="0" w:type="dxa"/>
            <w:right w:w="108" w:type="dxa"/>
          </w:tblCellMar>
        </w:tblPrEx>
        <w:trPr>
          <w:trHeight w:val="781"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岗位</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 xml:space="preserve">岗位  </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类别</w:t>
            </w: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8"/>
                <w:szCs w:val="28"/>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学历（学位）要求</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专业条件要求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年龄</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其他</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color w:val="000000"/>
                <w:sz w:val="28"/>
                <w:szCs w:val="28"/>
              </w:rPr>
            </w:pPr>
          </w:p>
        </w:tc>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8"/>
                <w:szCs w:val="28"/>
              </w:rPr>
            </w:pPr>
          </w:p>
        </w:tc>
      </w:tr>
      <w:tr>
        <w:tblPrEx>
          <w:tblLayout w:type="fixed"/>
          <w:tblCellMar>
            <w:top w:w="0" w:type="dxa"/>
            <w:left w:w="108" w:type="dxa"/>
            <w:bottom w:w="0" w:type="dxa"/>
            <w:right w:w="108" w:type="dxa"/>
          </w:tblCellMar>
        </w:tblPrEx>
        <w:trPr>
          <w:trHeight w:val="2523"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工程审计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专业技术</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本科及以上</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二级学科：工程审计、工程造价；</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一级学科：土木类、建筑类；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40周岁及以下（年龄计算时间截止报名首日，即2023年6月10日）</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取得建设工程一级造价师资格证</w:t>
            </w: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 xml:space="preserve">1.有5年以上造价管理或者结算审计经验，熟悉造价管控、结算审计等业务；        </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 xml:space="preserve">2.精通工程招投标、建筑、合同、定额、清单计价、经济、法律等专业知识；                 </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3.熟悉并掌握国家和地方有关工程建设管理、核算以及与之相关的法律、法规和规章</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color w:val="000000"/>
                <w:sz w:val="28"/>
                <w:szCs w:val="28"/>
              </w:rPr>
            </w:pPr>
          </w:p>
        </w:tc>
      </w:tr>
      <w:tr>
        <w:tblPrEx>
          <w:tblLayout w:type="fixed"/>
          <w:tblCellMar>
            <w:top w:w="0" w:type="dxa"/>
            <w:left w:w="108" w:type="dxa"/>
            <w:bottom w:w="0" w:type="dxa"/>
            <w:right w:w="108" w:type="dxa"/>
          </w:tblCellMar>
        </w:tblPrEx>
        <w:trPr>
          <w:trHeight w:val="2840"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战略规划研究</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专业技术</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211高校全日制本科及以上</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一级学科：经济学类、工商管理类、公共管理类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35周岁以下（年龄计算时间截止报名首日，即2023年6月10日）；</w:t>
            </w: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8"/>
                <w:szCs w:val="28"/>
              </w:rPr>
            </w:pP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1.熟悉企业战略规划、战略分解、运营管理、投资项目分析、财务分析，能够负责公司的战略研究和投资项目，具备5年以上业务工作经验。</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2.具有较高的写作水平、沟通能力与计划执行能力。</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3.具备良好的职业素养和职业操守；为人诚信、正直、诚实，能承受较大的工作压力。</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4.具备民航及其辅助业务经营管理经验者优先。</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color w:val="000000"/>
                <w:sz w:val="28"/>
                <w:szCs w:val="28"/>
              </w:rPr>
            </w:pPr>
          </w:p>
        </w:tc>
      </w:tr>
      <w:tr>
        <w:tblPrEx>
          <w:tblLayout w:type="fixed"/>
          <w:tblCellMar>
            <w:top w:w="0" w:type="dxa"/>
            <w:left w:w="108" w:type="dxa"/>
            <w:bottom w:w="0" w:type="dxa"/>
            <w:right w:w="108" w:type="dxa"/>
          </w:tblCellMar>
        </w:tblPrEx>
        <w:trPr>
          <w:trHeight w:val="2289"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目标绩效管理</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专业技术</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211高校全日制本科及以上</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一级学科：经济学类、工商管理类、公共管理类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35周岁以下（年龄计算时间截止报名首日，即2023年6月10日）；</w:t>
            </w: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8"/>
                <w:szCs w:val="28"/>
              </w:rPr>
            </w:pP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spacing w:after="160"/>
              <w:jc w:val="left"/>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1.熟悉党政机关、国有企业目标绩效管理制度、办法、流程，能熟练运用到本企业。</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2.根据年度经营任务，能科学制定绩效考核目标，运用考核结果，实现效率和效益提升。</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3.具备良好的协调沟通能力及职业敏感度，具备良好的职业素养和职业操守；</w:t>
            </w:r>
            <w:r>
              <w:rPr>
                <w:rFonts w:hint="eastAsia" w:ascii="微软雅黑" w:hAnsi="微软雅黑" w:eastAsia="微软雅黑" w:cs="微软雅黑"/>
                <w:color w:val="000000"/>
                <w:kern w:val="0"/>
                <w:sz w:val="28"/>
                <w:szCs w:val="28"/>
                <w:lang w:bidi="ar"/>
              </w:rPr>
              <w:br w:type="textWrapping"/>
            </w:r>
            <w:r>
              <w:rPr>
                <w:rFonts w:hint="eastAsia" w:ascii="微软雅黑" w:hAnsi="微软雅黑" w:eastAsia="微软雅黑" w:cs="微软雅黑"/>
                <w:color w:val="000000"/>
                <w:kern w:val="0"/>
                <w:sz w:val="28"/>
                <w:szCs w:val="28"/>
                <w:lang w:bidi="ar"/>
              </w:rPr>
              <w:t>4.具备民航及其辅助业务经营管理经验者优先。</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color w:val="000000"/>
                <w:sz w:val="28"/>
                <w:szCs w:val="28"/>
              </w:rPr>
            </w:pPr>
          </w:p>
        </w:tc>
      </w:tr>
      <w:tr>
        <w:tblPrEx>
          <w:tblLayout w:type="fixed"/>
          <w:tblCellMar>
            <w:top w:w="0" w:type="dxa"/>
            <w:left w:w="108" w:type="dxa"/>
            <w:bottom w:w="0" w:type="dxa"/>
            <w:right w:w="108" w:type="dxa"/>
          </w:tblCellMar>
        </w:tblPrEx>
        <w:trPr>
          <w:trHeight w:val="2289"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会计人员</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专业技术</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全日制本科及以上</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经济、财务、审计等经济类相关专业；</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35周岁（含）以下（年龄计算时间截止报名首日，即2023年6月10日）</w:t>
            </w: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取得中级会计职称</w:t>
            </w:r>
          </w:p>
        </w:tc>
        <w:tc>
          <w:tcPr>
            <w:tcW w:w="3495"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1.从事会计5年以上工作经验；</w:t>
            </w:r>
          </w:p>
          <w:p>
            <w:pP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2.能独立开展财务核算会计相关工作，能熟练使用用友财务软件及Office或者WPS办公自动化软件；</w:t>
            </w:r>
          </w:p>
          <w:p>
            <w:pPr>
              <w:widowControl/>
              <w:spacing w:after="160"/>
              <w:jc w:val="left"/>
              <w:textAlignment w:val="center"/>
              <w:rPr>
                <w:rFonts w:hint="eastAsia"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3.政治表现好，具有良好的职业道德和团队协作精神，品行端正，诚实守信，</w:t>
            </w:r>
            <w:r>
              <w:rPr>
                <w:rFonts w:hint="eastAsia" w:ascii="微软雅黑" w:hAnsi="微软雅黑" w:eastAsia="微软雅黑" w:cs="微软雅黑"/>
                <w:color w:val="000000"/>
                <w:spacing w:val="-6"/>
                <w:kern w:val="0"/>
                <w:sz w:val="28"/>
                <w:szCs w:val="28"/>
                <w:lang w:bidi="ar"/>
              </w:rPr>
              <w:t>工作细致，责任心强，具有良好的沟通协调能力。</w:t>
            </w:r>
            <w:r>
              <w:rPr>
                <w:rFonts w:hint="eastAsia" w:ascii="微软雅黑" w:hAnsi="微软雅黑" w:eastAsia="微软雅黑" w:cs="微软雅黑"/>
                <w:color w:val="000000"/>
                <w:spacing w:val="-6"/>
                <w:kern w:val="0"/>
                <w:sz w:val="28"/>
                <w:szCs w:val="28"/>
                <w:lang w:bidi="ar"/>
              </w:rPr>
              <w:br w:type="textWrapping"/>
            </w:r>
            <w:r>
              <w:rPr>
                <w:rFonts w:hint="eastAsia" w:ascii="微软雅黑" w:hAnsi="微软雅黑" w:eastAsia="微软雅黑" w:cs="微软雅黑"/>
                <w:color w:val="000000"/>
                <w:kern w:val="0"/>
                <w:sz w:val="28"/>
                <w:szCs w:val="28"/>
                <w:lang w:bidi="ar"/>
              </w:rPr>
              <w:t>4.有企事业单位、机场、航空票务会计工作经验优先；</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333333"/>
                <w:spacing w:val="23"/>
                <w:sz w:val="28"/>
                <w:szCs w:val="28"/>
                <w:shd w:val="clear" w:color="auto" w:fill="FFFFFF"/>
              </w:rPr>
              <w:t>工作地点在宜宾机场集团有限公司下属子公司宜宾机场航空服务有限公司，其薪资待遇按照子公司薪资管理办法执行。</w:t>
            </w:r>
          </w:p>
        </w:tc>
      </w:tr>
    </w:tbl>
    <w:p>
      <w:pPr>
        <w:jc w:val="left"/>
        <w:rPr>
          <w:rFonts w:hint="eastAsia" w:ascii="微软雅黑" w:hAnsi="微软雅黑" w:eastAsia="微软雅黑" w:cs="微软雅黑"/>
          <w:sz w:val="28"/>
          <w:szCs w:val="28"/>
        </w:rPr>
      </w:pPr>
    </w:p>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D70D1"/>
    <w:rsid w:val="7E0D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basedOn w:val="1"/>
    <w:qFormat/>
    <w:uiPriority w:val="0"/>
    <w:pPr>
      <w:autoSpaceDE w:val="0"/>
      <w:autoSpaceDN w:val="0"/>
      <w:adjustRightInd w:val="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2023-06-12T01:50:00Z</dcterms:created>
  <dc:creator>Administrator</dc:creator>
  <cp:lastModifiedBy>Administrator</cp:lastModifiedBy>
  <dcterms:modified xsi:type="dcterms:W3CDTF">2023-06-12T01:50:51Z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